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both"/>
        <w:rPr>
          <w:rFonts w:ascii="Arial" w:hAnsi="Arial" w:eastAsia="宋体" w:cs="Arial"/>
          <w:color w:val="222222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hint="eastAsia" w:ascii="宋体" w:hAnsi="宋体" w:eastAsia="宋体" w:cs="Arial"/>
          <w:b/>
          <w:bCs/>
          <w:color w:val="222222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32"/>
          <w:szCs w:val="32"/>
        </w:rPr>
        <w:t>重庆市拍卖行业协会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hint="eastAsia" w:ascii="宋体" w:hAnsi="宋体" w:eastAsia="宋体" w:cs="Arial"/>
          <w:b/>
          <w:bCs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32"/>
          <w:szCs w:val="32"/>
          <w:lang w:val="en-US" w:eastAsia="zh-CN"/>
        </w:rPr>
        <w:t>网络拍卖</w:t>
      </w:r>
      <w:r>
        <w:rPr>
          <w:rFonts w:hint="eastAsia" w:ascii="宋体" w:hAnsi="宋体" w:eastAsia="宋体" w:cs="Arial"/>
          <w:b/>
          <w:bCs/>
          <w:color w:val="222222"/>
          <w:kern w:val="0"/>
          <w:sz w:val="32"/>
          <w:szCs w:val="32"/>
        </w:rPr>
        <w:t>专业委员会工作</w:t>
      </w:r>
      <w:r>
        <w:rPr>
          <w:rFonts w:hint="eastAsia" w:ascii="宋体" w:hAnsi="宋体" w:eastAsia="宋体" w:cs="Arial"/>
          <w:b/>
          <w:bCs/>
          <w:color w:val="222222"/>
          <w:kern w:val="0"/>
          <w:sz w:val="32"/>
          <w:szCs w:val="32"/>
          <w:lang w:val="en-US" w:eastAsia="zh-CN"/>
        </w:rPr>
        <w:t>规则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hint="default" w:ascii="宋体" w:hAnsi="宋体" w:eastAsia="宋体" w:cs="Arial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24"/>
          <w:szCs w:val="2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/>
        <w:jc w:val="center"/>
        <w:textAlignment w:val="auto"/>
        <w:rPr>
          <w:rFonts w:hint="eastAsia" w:ascii="黑体" w:hAnsi="黑体" w:eastAsia="黑体" w:cs="黑体"/>
          <w:b/>
          <w:bCs/>
          <w:color w:val="222222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  <w:t>第一章   总则</w:t>
      </w:r>
    </w:p>
    <w:p>
      <w:pPr>
        <w:widowControl/>
        <w:shd w:val="clear" w:color="auto" w:fill="FFFFFF"/>
        <w:spacing w:line="420" w:lineRule="atLeast"/>
        <w:ind w:firstLine="562"/>
        <w:rPr>
          <w:rFonts w:ascii="Arial" w:hAnsi="Arial" w:eastAsia="宋体" w:cs="Arial"/>
          <w:color w:val="222222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</w:rPr>
        <w:t>第一条 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重庆市拍卖业协会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拍卖专业委员会（以下简称“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拍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”）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是根据《重庆市拍卖行业协会章程》设立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，是重庆市拍卖业协会（以下简称“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重拍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协”）下设的分支机构，在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重拍协章程范围内开展网络拍卖专业领域相关工作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Arial" w:hAnsi="Arial" w:eastAsia="宋体" w:cs="Arial"/>
          <w:color w:val="222222"/>
          <w:kern w:val="0"/>
          <w:szCs w:val="21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本工作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规则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所称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是指：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拍卖企业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通过互联网，以公开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竞价方式进行的拍卖活动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司法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机关委托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的拍卖辅助服务工作。</w:t>
      </w:r>
    </w:p>
    <w:p>
      <w:pPr>
        <w:widowControl/>
        <w:shd w:val="clear" w:color="auto" w:fill="FFFFFF"/>
        <w:spacing w:line="420" w:lineRule="atLeast"/>
        <w:ind w:firstLine="562"/>
        <w:rPr>
          <w:rFonts w:ascii="Arial" w:hAnsi="Arial" w:eastAsia="宋体" w:cs="Arial"/>
          <w:color w:val="222222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</w:rPr>
        <w:t>第二条</w:t>
      </w: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网络拍卖专委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的职能是：研究贯彻落实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相关政策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法律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法规，为有关部门提供决策参考；制定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行业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服务相关规范和标准，指导会员企业专业化成长；搭建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网络拍卖专业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市场生态圈，促进我市拍卖行业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业务高质量发展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；配合人民法院开展网络司法拍卖服务工作，依法、合规、高效提高网络司法拍卖服务水平；不定期开展网络拍卖相关技术操作、规范程序、服务规程、法律法规、案例分享等培训、交流活动；制定网络拍卖行业自律公约，并监督实施、良性运行。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  <w:t>第二章   工作任务</w:t>
      </w:r>
    </w:p>
    <w:p>
      <w:pPr>
        <w:widowControl/>
        <w:shd w:val="clear" w:color="auto" w:fill="FFFFFF"/>
        <w:spacing w:line="420" w:lineRule="atLeast"/>
        <w:ind w:firstLine="560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条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网络拍卖专委会承担以下专业任务：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(一) 研究网络拍卖相关政策和法律问题，积极向政府主管部门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0" w:firstLineChars="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提出合理意见和建议，维护行业合法权益；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(二) 听取委员单位的诉求，为委员单位提供支持并协助解决相关问题；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(三) 制定重庆拍卖行业网络拍卖发展规划，提出指导全行业发展的举措；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jc w:val="both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开展网络拍卖相关理论和行业热点问题的研究，组织制定网络拍卖服务与操作规范的相关标准；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(五) 搭建跨行业、跨领域资源对接平台，促进网络拍卖市场创新发展；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(六) 组织推动网络拍卖专业人才培养，开展多层次的交流学习与培训；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（七）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联同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相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关行业协会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和行政、司法机关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对我市开展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业务的企业操作进行指导及监督；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（八） 对协会指导建立的各类各级网络拍卖机构进行遴选、评价等动态管理；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(九) 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对外宣传协会会员企业所开展的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的业绩及个案，树立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市场影响力，不定期发表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工作情况报告；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 配合人民法院等机构高质量高效率开展司法网络拍卖辅助工作。</w:t>
      </w:r>
    </w:p>
    <w:p>
      <w:pPr>
        <w:widowControl/>
        <w:shd w:val="clear" w:color="auto" w:fill="FFFFFF"/>
        <w:spacing w:line="420" w:lineRule="atLeast"/>
        <w:ind w:firstLine="560"/>
        <w:rPr>
          <w:rFonts w:hint="default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（十一）按照辅拍工作要求，适时组织开展：查验标的的时限、方式、影像拍摄编辑、公告、须知等文案资料制作、发布，引领竞买人看样，标的过户移交及标的权属、欠费和瑕疵调查等培训交流活动。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（十二） 开展与本行业有关的专业性、理论性研究。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(十三) 承接重拍协交办的其他工作。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textAlignment w:val="auto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Fonts w:hint="default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  <w:t>第三章  组织机构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  <w:t>第四条  网络拍卖专委会委员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凡是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协会会员企业，有从事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网络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拍卖经营业务，近三年没有违法违规记录，向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申请并获批准的，可成为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委员单位。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条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会委员全体会议是最高决策机构，其职权是：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(一) 制定和修改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会工作规则；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（二）选举和罢免副主任委员；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(三) 研究解决业内共同关注的问题；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(四) 审议其他重要事宜。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条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委员全体会议需三分之二以上（含）委员出席方可表决， 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其决定须经到会委员半数以上（含）表决通过方能生效。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第七条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委员全体会议应形成会议纪要，会议提出的意见或建议， 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应书面提交重拍协及相关政府主管部门，供上级机关在制定政策法 规或决策时参考。 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firstLine="560" w:firstLineChars="200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第八条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委员全体会议原则上每年召开一次，可根据需要召开临时会议。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ascii="Arial" w:hAnsi="Arial" w:eastAsia="宋体" w:cs="Arial"/>
          <w:color w:val="222222"/>
          <w:kern w:val="0"/>
          <w:szCs w:val="21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此外可根据需要召开组织沙龙活动会议，年会或沙龙活动均由主任（或被授权的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副主任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）召集并主持。</w:t>
      </w:r>
    </w:p>
    <w:p>
      <w:pPr>
        <w:widowControl/>
        <w:shd w:val="clear" w:color="auto" w:fill="FFFFFF"/>
        <w:spacing w:line="420" w:lineRule="atLeast"/>
        <w:ind w:firstLine="562" w:firstLineChars="200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</w:rPr>
        <w:t>第</w:t>
      </w: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</w:rPr>
        <w:t>条</w:t>
      </w: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设主任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1名，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副主任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委员9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名，委员若干名。主任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由协会会长办公会议提名，理事会通过，协会聘任；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副主任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由主任提名，经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委员全体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会议审议通过。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ascii="Arial" w:hAnsi="Arial" w:eastAsia="宋体" w:cs="Arial"/>
          <w:color w:val="222222"/>
          <w:kern w:val="0"/>
          <w:szCs w:val="21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任期内因故无法或不宜履行职责的，主任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经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协会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理事会通过，由协会解聘；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副主任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经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委员全体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会议通过解聘。</w:t>
      </w:r>
    </w:p>
    <w:p>
      <w:pPr>
        <w:widowControl/>
        <w:shd w:val="clear" w:color="auto" w:fill="FFFFFF"/>
        <w:spacing w:line="420" w:lineRule="atLeast"/>
        <w:ind w:firstLine="560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委员、副主任委员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的任期与协会理事会相同，可以连任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两届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十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主任委员办公会 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主任委员办公会由主任委员、副主任委员和秘书长参加，决定执行委员全体会议闭会期间有关工作，领导秘书处开展日常工作。 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主任委员办公会原则上每季度召开一次，主任委员可视工作需要随时召集会议。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会秘书处 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会秘书处设在重拍协秘书处，负责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会日常工作。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会秘书处</w:t>
      </w:r>
      <w:bookmarkStart w:id="0" w:name="_GoBack"/>
      <w:bookmarkEnd w:id="0"/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设秘书长 1 名，由主任委员提名，协会聘任。 </w:t>
      </w:r>
    </w:p>
    <w:p>
      <w:pPr>
        <w:widowControl/>
        <w:shd w:val="clear" w:color="auto" w:fill="FFFFFF"/>
        <w:spacing w:line="420" w:lineRule="atLeast"/>
        <w:ind w:firstLine="560" w:firstLineChars="200"/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根据需要，委员单位有义务派人协助秘书处开展相关工作。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widowControl/>
        <w:shd w:val="clear" w:color="auto" w:fill="FFFFFF"/>
        <w:spacing w:line="420" w:lineRule="atLeast"/>
        <w:ind w:firstLine="560" w:firstLineChars="200"/>
        <w:rPr>
          <w:rFonts w:ascii="Arial" w:hAnsi="Arial" w:eastAsia="宋体" w:cs="Arial"/>
          <w:color w:val="222222"/>
          <w:kern w:val="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第十二条</w:t>
      </w:r>
      <w:r>
        <w:rPr>
          <w:rFonts w:hint="eastAsia" w:ascii="宋体" w:hAnsi="宋体" w:eastAsia="宋体" w:cs="Arial"/>
          <w:b/>
          <w:bCs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根据需要，可邀请具有一定社会影响力、有专业建树的人士担任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顾问，为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的发展战略、重大业务活动提供政策指导和决策咨询。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Arial" w:hAnsi="Arial" w:eastAsia="宋体" w:cs="Arial"/>
          <w:color w:val="222222"/>
          <w:kern w:val="0"/>
          <w:szCs w:val="21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顾问由主任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提名，经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委员全体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会议审议通过，协会聘任。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第四章 入会及退会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十三条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入会条件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（一） 合法成立的法人企业；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（二） 重庆市拍卖行业协会会员；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 (三）入围法院的司法辅机构；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（四） 承认本《工作规则》。 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第十四条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入会程序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(一) 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会秘书处提交《入会申请表》；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(二) 经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会秘书处审核，提交主任办公会议审议决定；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(三) 向委员全体会议通报；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(四) 颁发证书和牌匾。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第十五条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退会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(一)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会委员可自愿退会，向秘书处提出书面申请，并交还委员证书和牌匾。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(二) 有以下情形之一的，可强制退会：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1. 丧失入会条件之一的；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2. 违反国家有关法律法规、行业规则和行业自律公约的；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3. 未履行委员义务的；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4. 其他应强制退会的情形。</w:t>
      </w:r>
    </w:p>
    <w:p>
      <w:pPr>
        <w:keepNext w:val="0"/>
        <w:keepLines w:val="0"/>
        <w:widowControl/>
        <w:suppressLineNumbers w:val="0"/>
        <w:ind w:firstLine="301" w:firstLineChars="10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第五章 权利和义务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第十六条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委员享有以下权利：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(一) 参加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会举办的各类活动；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(二) 享有选举权、被选举权、表决权、监督权；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(三) 有向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会反映情况，寻求专业技术和法律支持的权利；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(四) 优先获得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会各类信息资料及资源渠道；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(五) 有对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会工作的监督和建议权；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(六) 有退会的自由。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第十七条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委员应履行以下义务：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(一) 遵守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会工作规则等相关工作制度并执行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会的决议；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(二) 积极参加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会组织的各类活动，按时完成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会交付的工作；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(三) 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会提供经营统计数据；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(四) 委员之间相互学习，共求发展，杜绝一切不正当竞争行为。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第六章 经费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第十八条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经费来源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(一) 共益费；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(二) 相关单位及个人捐赠；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(三) 开展论坛、培训及提供咨询服务等取得的其他合法收入。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第十九条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经费支出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(一)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会各类会议活动支出；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(二)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会日常工作支出；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(三) 其他研究项目支出。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第二十条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财务管理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(一) 经费纳入重拍协秘书处财务统一管理； </w:t>
      </w:r>
    </w:p>
    <w:p>
      <w:pPr>
        <w:widowControl/>
        <w:shd w:val="clear" w:color="auto" w:fill="FFFFFF"/>
        <w:spacing w:line="420" w:lineRule="atLeast"/>
        <w:ind w:firstLine="562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 xml:space="preserve">(二) 经费使用情况需形成年度决算报告； </w:t>
      </w:r>
    </w:p>
    <w:p>
      <w:pPr>
        <w:widowControl/>
        <w:shd w:val="clear" w:color="auto" w:fill="FFFFFF"/>
        <w:spacing w:line="420" w:lineRule="atLeast"/>
        <w:ind w:firstLine="562"/>
      </w:pP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(三) 对外协议事宜统一由重拍协公章签署。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第七章 附 则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第二十一条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本工作规则由重拍协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络拍卖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eastAsia="zh-CN"/>
        </w:rPr>
        <w:t>专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</w:rPr>
        <w:t>委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会负责解释。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第二十二条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本工作规则自通过之日起实施。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第二十三条 </w:t>
      </w:r>
      <w:r>
        <w:rPr>
          <w:rFonts w:hint="eastAsia" w:ascii="宋体" w:hAnsi="宋体" w:eastAsia="宋体" w:cs="Arial"/>
          <w:color w:val="222222"/>
          <w:kern w:val="0"/>
          <w:sz w:val="28"/>
          <w:szCs w:val="28"/>
          <w:lang w:val="en-US" w:eastAsia="zh-CN"/>
        </w:rPr>
        <w:t>本工作规则确需修改时，由主任委员办公会议提出修改意见，经委员全体会议审议通过后执行。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DA3ED"/>
    <w:multiLevelType w:val="singleLevel"/>
    <w:tmpl w:val="51BDA3ED"/>
    <w:lvl w:ilvl="0" w:tentative="0">
      <w:start w:val="4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A2NTc0Zjg2M2YxMjllZGNkYTNkYzRmMGNjMTYifQ=="/>
  </w:docVars>
  <w:rsids>
    <w:rsidRoot w:val="002F436A"/>
    <w:rsid w:val="00005FC4"/>
    <w:rsid w:val="000945F0"/>
    <w:rsid w:val="00172F4A"/>
    <w:rsid w:val="00214BDA"/>
    <w:rsid w:val="002F436A"/>
    <w:rsid w:val="00301D7F"/>
    <w:rsid w:val="003930B1"/>
    <w:rsid w:val="003D4E1F"/>
    <w:rsid w:val="00424BED"/>
    <w:rsid w:val="004D4043"/>
    <w:rsid w:val="00500138"/>
    <w:rsid w:val="00514626"/>
    <w:rsid w:val="0054191A"/>
    <w:rsid w:val="00583D8C"/>
    <w:rsid w:val="00603F48"/>
    <w:rsid w:val="00730B86"/>
    <w:rsid w:val="008D674C"/>
    <w:rsid w:val="00907B82"/>
    <w:rsid w:val="00971AC8"/>
    <w:rsid w:val="009D345D"/>
    <w:rsid w:val="00CB2FEF"/>
    <w:rsid w:val="00D14639"/>
    <w:rsid w:val="00F632C6"/>
    <w:rsid w:val="00F825DD"/>
    <w:rsid w:val="04C96CE6"/>
    <w:rsid w:val="05B776E7"/>
    <w:rsid w:val="0B925AA8"/>
    <w:rsid w:val="0F9C6EF5"/>
    <w:rsid w:val="0FD52407"/>
    <w:rsid w:val="12C67DD2"/>
    <w:rsid w:val="14EB6229"/>
    <w:rsid w:val="16B8213B"/>
    <w:rsid w:val="16C805D0"/>
    <w:rsid w:val="183879D7"/>
    <w:rsid w:val="19235F91"/>
    <w:rsid w:val="19926137"/>
    <w:rsid w:val="1BA710FC"/>
    <w:rsid w:val="1D990F18"/>
    <w:rsid w:val="1DF223D6"/>
    <w:rsid w:val="1E6F1C79"/>
    <w:rsid w:val="27435638"/>
    <w:rsid w:val="27D730C2"/>
    <w:rsid w:val="27EB411E"/>
    <w:rsid w:val="29CE5AA6"/>
    <w:rsid w:val="2A094D30"/>
    <w:rsid w:val="2C862667"/>
    <w:rsid w:val="2CE37ABA"/>
    <w:rsid w:val="2DB66F7C"/>
    <w:rsid w:val="2DC378EB"/>
    <w:rsid w:val="303261B7"/>
    <w:rsid w:val="31376626"/>
    <w:rsid w:val="315E0057"/>
    <w:rsid w:val="32854824"/>
    <w:rsid w:val="32B61A5C"/>
    <w:rsid w:val="32F72AF1"/>
    <w:rsid w:val="36363115"/>
    <w:rsid w:val="3788268F"/>
    <w:rsid w:val="3BC71F28"/>
    <w:rsid w:val="3D4C3459"/>
    <w:rsid w:val="3D673DEF"/>
    <w:rsid w:val="3EE10E70"/>
    <w:rsid w:val="3F0B2EA0"/>
    <w:rsid w:val="40D07EFD"/>
    <w:rsid w:val="414A5F02"/>
    <w:rsid w:val="414F52C6"/>
    <w:rsid w:val="433B446A"/>
    <w:rsid w:val="46D6477E"/>
    <w:rsid w:val="48B325DE"/>
    <w:rsid w:val="4C5B0FC3"/>
    <w:rsid w:val="4C6B3D18"/>
    <w:rsid w:val="4CF3744D"/>
    <w:rsid w:val="4E0538DC"/>
    <w:rsid w:val="4FB337BC"/>
    <w:rsid w:val="50697A27"/>
    <w:rsid w:val="51D75590"/>
    <w:rsid w:val="537D5CC3"/>
    <w:rsid w:val="54BA4B9B"/>
    <w:rsid w:val="55322ADD"/>
    <w:rsid w:val="577473DD"/>
    <w:rsid w:val="59920D15"/>
    <w:rsid w:val="5A0A0901"/>
    <w:rsid w:val="5E655CD1"/>
    <w:rsid w:val="69392234"/>
    <w:rsid w:val="6AB9187F"/>
    <w:rsid w:val="6B4A1947"/>
    <w:rsid w:val="6C054650"/>
    <w:rsid w:val="6E8D72AA"/>
    <w:rsid w:val="70027824"/>
    <w:rsid w:val="725B321B"/>
    <w:rsid w:val="7363682B"/>
    <w:rsid w:val="739F538A"/>
    <w:rsid w:val="74411BD6"/>
    <w:rsid w:val="76C03F95"/>
    <w:rsid w:val="76FA1255"/>
    <w:rsid w:val="77C96E79"/>
    <w:rsid w:val="78886285"/>
    <w:rsid w:val="793B7903"/>
    <w:rsid w:val="7BDF0A19"/>
    <w:rsid w:val="7C6333F8"/>
    <w:rsid w:val="7CA467A0"/>
    <w:rsid w:val="7D225061"/>
    <w:rsid w:val="7DC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1447</Characters>
  <Lines>12</Lines>
  <Paragraphs>3</Paragraphs>
  <TotalTime>4</TotalTime>
  <ScaleCrop>false</ScaleCrop>
  <LinksUpToDate>false</LinksUpToDate>
  <CharactersWithSpaces>1697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2023-03-26T07:42:00Z</dcterms:created>
  <dc:creator>840533748@qq.com</dc:creator>
  <cp:lastModifiedBy>海豚</cp:lastModifiedBy>
  <dcterms:modified xsi:type="dcterms:W3CDTF">2024-03-07T03:00:37Z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37D32164150B4EA89E67D601FC537926_13</vt:lpwstr>
  </property>
</Properties>
</file>